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220" w:lineRule="atLeast"/>
        <w:ind w:left="880" w:hanging="220"/>
        <w:jc w:val="both"/>
        <w:rPr>
          <w:rFonts w:hint="eastAsia" w:ascii="ＭＳ 明朝" w:hAnsi="ＭＳ 明朝" w:eastAsia="ＭＳ 明朝"/>
          <w:b w:val="0"/>
          <w:i w:val="0"/>
          <w:strike w:val="0"/>
          <w:color w:val="000000"/>
          <w:u w:val="none" w:color="auto"/>
        </w:rPr>
      </w:pPr>
      <w:r>
        <w:rPr>
          <w:rFonts w:hint="eastAsia" w:ascii="ＭＳ 明朝" w:hAnsi="ＭＳ 明朝" w:eastAsia="ＭＳ 明朝"/>
          <w:b w:val="0"/>
          <w:i w:val="0"/>
          <w:strike w:val="0"/>
          <w:color w:val="000000"/>
          <w:sz w:val="22"/>
          <w:u w:val="none" w:color="auto"/>
        </w:rPr>
        <w:t>○東御市文化財保護事業等補助金交付要綱</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年４月１日</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告示第</w:t>
      </w:r>
      <w:r>
        <w:rPr>
          <w:rFonts w:hint="default" w:ascii="ＭＳ 明朝" w:hAnsi="ＭＳ 明朝" w:eastAsia="ＭＳ 明朝"/>
          <w:b w:val="0"/>
          <w:i w:val="0"/>
          <w:strike w:val="0"/>
          <w:color w:val="000000"/>
          <w:sz w:val="22"/>
          <w:u w:val="none" w:color="auto"/>
        </w:rPr>
        <w:t>23</w:t>
      </w:r>
      <w:r>
        <w:rPr>
          <w:rFonts w:hint="default" w:ascii="ＭＳ 明朝" w:hAnsi="ＭＳ 明朝" w:eastAsia="ＭＳ 明朝"/>
          <w:b w:val="0"/>
          <w:i w:val="0"/>
          <w:strike w:val="0"/>
          <w:color w:val="000000"/>
          <w:sz w:val="22"/>
          <w:u w:val="none" w:color="auto"/>
        </w:rPr>
        <w:t>号</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（趣旨）</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第１条　この告示は、文化財保護法（昭和</w:t>
      </w:r>
      <w:r>
        <w:rPr>
          <w:rFonts w:hint="default" w:ascii="ＭＳ 明朝" w:hAnsi="ＭＳ 明朝" w:eastAsia="ＭＳ 明朝"/>
          <w:b w:val="0"/>
          <w:i w:val="0"/>
          <w:strike w:val="0"/>
          <w:color w:val="000000"/>
          <w:sz w:val="22"/>
          <w:u w:val="none" w:color="auto"/>
        </w:rPr>
        <w:t>25</w:t>
      </w:r>
      <w:r>
        <w:rPr>
          <w:rFonts w:hint="default" w:ascii="ＭＳ 明朝" w:hAnsi="ＭＳ 明朝" w:eastAsia="ＭＳ 明朝"/>
          <w:b w:val="0"/>
          <w:i w:val="0"/>
          <w:strike w:val="0"/>
          <w:color w:val="000000"/>
          <w:sz w:val="22"/>
          <w:u w:val="none" w:color="auto"/>
        </w:rPr>
        <w:t>年法律第</w:t>
      </w:r>
      <w:r>
        <w:rPr>
          <w:rFonts w:hint="default" w:ascii="ＭＳ 明朝" w:hAnsi="ＭＳ 明朝" w:eastAsia="ＭＳ 明朝"/>
          <w:b w:val="0"/>
          <w:i w:val="0"/>
          <w:strike w:val="0"/>
          <w:color w:val="000000"/>
          <w:sz w:val="22"/>
          <w:u w:val="none" w:color="auto"/>
        </w:rPr>
        <w:t>214</w:t>
      </w:r>
      <w:r>
        <w:rPr>
          <w:rFonts w:hint="default" w:ascii="ＭＳ 明朝" w:hAnsi="ＭＳ 明朝" w:eastAsia="ＭＳ 明朝"/>
          <w:b w:val="0"/>
          <w:i w:val="0"/>
          <w:strike w:val="0"/>
          <w:color w:val="000000"/>
          <w:sz w:val="22"/>
          <w:u w:val="none" w:color="auto"/>
        </w:rPr>
        <w:t>号）及び東御市文化財保護条例（平成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年東御市条例第</w:t>
      </w:r>
      <w:r>
        <w:rPr>
          <w:rFonts w:hint="default" w:ascii="ＭＳ 明朝" w:hAnsi="ＭＳ 明朝" w:eastAsia="ＭＳ 明朝"/>
          <w:b w:val="0"/>
          <w:i w:val="0"/>
          <w:strike w:val="0"/>
          <w:color w:val="000000"/>
          <w:sz w:val="22"/>
          <w:u w:val="none" w:color="auto"/>
        </w:rPr>
        <w:t>90</w:t>
      </w:r>
      <w:r>
        <w:rPr>
          <w:rFonts w:hint="default" w:ascii="ＭＳ 明朝" w:hAnsi="ＭＳ 明朝" w:eastAsia="ＭＳ 明朝"/>
          <w:b w:val="0"/>
          <w:i w:val="0"/>
          <w:strike w:val="0"/>
          <w:color w:val="000000"/>
          <w:sz w:val="22"/>
          <w:u w:val="none" w:color="auto"/>
        </w:rPr>
        <w:t>号）の規定に基づき、文化財の所有者等（市長が指定文化財の保存に当たることを適当と認めた団体等を含む。）が行う文化財保護のための事業（以下「文化財保護事業」という。）並びに東御市伝統的建造物群保存地区保存条例（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年東御市条例第</w:t>
      </w:r>
      <w:r>
        <w:rPr>
          <w:rFonts w:hint="default" w:ascii="ＭＳ 明朝" w:hAnsi="ＭＳ 明朝" w:eastAsia="ＭＳ 明朝"/>
          <w:b w:val="0"/>
          <w:i w:val="0"/>
          <w:strike w:val="0"/>
          <w:color w:val="000000"/>
          <w:sz w:val="22"/>
          <w:u w:val="none" w:color="auto"/>
        </w:rPr>
        <w:t>91</w:t>
      </w:r>
      <w:r>
        <w:rPr>
          <w:rFonts w:hint="default" w:ascii="ＭＳ 明朝" w:hAnsi="ＭＳ 明朝" w:eastAsia="ＭＳ 明朝"/>
          <w:b w:val="0"/>
          <w:i w:val="0"/>
          <w:strike w:val="0"/>
          <w:color w:val="000000"/>
          <w:sz w:val="22"/>
          <w:u w:val="none" w:color="auto"/>
        </w:rPr>
        <w:t>号）の規定に基づく伝統的建造物群保存地区（以下「保存地区」という。）内の環境整備事業に要する経費に対し、予算の範囲内で補助金を交付することについて、東御市補助金等交付規則（平成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年東御市規則第</w:t>
      </w:r>
      <w:r>
        <w:rPr>
          <w:rFonts w:hint="default" w:ascii="ＭＳ 明朝" w:hAnsi="ＭＳ 明朝" w:eastAsia="ＭＳ 明朝"/>
          <w:b w:val="0"/>
          <w:i w:val="0"/>
          <w:strike w:val="0"/>
          <w:color w:val="000000"/>
          <w:sz w:val="22"/>
          <w:u w:val="none" w:color="auto"/>
        </w:rPr>
        <w:t>37</w:t>
      </w:r>
      <w:r>
        <w:rPr>
          <w:rFonts w:hint="default" w:ascii="ＭＳ 明朝" w:hAnsi="ＭＳ 明朝" w:eastAsia="ＭＳ 明朝"/>
          <w:b w:val="0"/>
          <w:i w:val="0"/>
          <w:strike w:val="0"/>
          <w:color w:val="000000"/>
          <w:sz w:val="22"/>
          <w:u w:val="none" w:color="auto"/>
        </w:rPr>
        <w:t>号）に定めるもののほか、必要な事項を定めるものとする。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（文化財保護事業に係る補助金の交付）</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第２条　文化財保護事業に係る補助金の交付の対象は、国、県又は市が指定した文化財（以下「指定文化財」という。）その他東御市教育委員会が認める文化財の保存、活用等を行う</w:t>
      </w: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万円以上の事業とし、補助金の交付の対象となる経費及び補助率等は、別表第１のとおりとする。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前項の規定にかかわらず、市長は、特に必要があると認めるときは、限度額を超えて補助することができる。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（保存地区に係る補助金の交付）</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第３条　保存地区に係る補助金の交付の対象となる事業は、次に掲げるとおりとする。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(1) </w:t>
      </w:r>
      <w:r>
        <w:rPr>
          <w:rFonts w:hint="default" w:ascii="ＭＳ 明朝" w:hAnsi="ＭＳ 明朝" w:eastAsia="ＭＳ 明朝"/>
          <w:b w:val="0"/>
          <w:i w:val="0"/>
          <w:strike w:val="0"/>
          <w:color w:val="000000"/>
          <w:sz w:val="22"/>
          <w:u w:val="none" w:color="auto"/>
        </w:rPr>
        <w:t>東御市伝統的建造物群保存地区保存条例（平成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年東御市条例第</w:t>
      </w:r>
      <w:r>
        <w:rPr>
          <w:rFonts w:hint="default" w:ascii="ＭＳ 明朝" w:hAnsi="ＭＳ 明朝" w:eastAsia="ＭＳ 明朝"/>
          <w:b w:val="0"/>
          <w:i w:val="0"/>
          <w:strike w:val="0"/>
          <w:color w:val="000000"/>
          <w:sz w:val="22"/>
          <w:u w:val="none" w:color="auto"/>
        </w:rPr>
        <w:t>91</w:t>
      </w:r>
      <w:r>
        <w:rPr>
          <w:rFonts w:hint="default" w:ascii="ＭＳ 明朝" w:hAnsi="ＭＳ 明朝" w:eastAsia="ＭＳ 明朝"/>
          <w:b w:val="0"/>
          <w:i w:val="0"/>
          <w:strike w:val="0"/>
          <w:color w:val="000000"/>
          <w:sz w:val="22"/>
          <w:u w:val="none" w:color="auto"/>
        </w:rPr>
        <w:t>号）第４条に規定する保存計画に基づき、保存地区内の伝統的建造物及び伝統的建造物群と一体をなす環境を保存するために必要と認められる物件（以下「環境物件」という。）を整備する事業</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 xml:space="preserve">(2) </w:t>
      </w:r>
      <w:r>
        <w:rPr>
          <w:rFonts w:hint="default" w:ascii="ＭＳ 明朝" w:hAnsi="ＭＳ 明朝" w:eastAsia="ＭＳ 明朝"/>
          <w:b w:val="0"/>
          <w:i w:val="0"/>
          <w:strike w:val="0"/>
          <w:color w:val="000000"/>
          <w:sz w:val="22"/>
          <w:u w:val="none" w:color="auto"/>
        </w:rPr>
        <w:t>保存地区内における伝統的建造物群以外の建築物及びその他の工作物を整備する事業</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前項に規定する事業に係る補助金の交付の対象となる経費及び補助率は、別表第２のとおりとする。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３　前条第２項の規定は、前項の補助金について準用する。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（補則）</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第４条　この告示に定めるもののほか、必要な事項は市長が別に定める。</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附　則</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（施行期日）</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１　この告示は、平成</w:t>
      </w:r>
      <w:r>
        <w:rPr>
          <w:rFonts w:hint="default" w:ascii="ＭＳ 明朝" w:hAnsi="ＭＳ 明朝" w:eastAsia="ＭＳ 明朝"/>
          <w:b w:val="0"/>
          <w:i w:val="0"/>
          <w:strike w:val="0"/>
          <w:color w:val="000000"/>
          <w:sz w:val="22"/>
          <w:u w:val="none" w:color="auto"/>
        </w:rPr>
        <w:t>16</w:t>
      </w:r>
      <w:r>
        <w:rPr>
          <w:rFonts w:hint="default" w:ascii="ＭＳ 明朝" w:hAnsi="ＭＳ 明朝" w:eastAsia="ＭＳ 明朝"/>
          <w:b w:val="0"/>
          <w:i w:val="0"/>
          <w:strike w:val="0"/>
          <w:color w:val="000000"/>
          <w:sz w:val="22"/>
          <w:u w:val="none" w:color="auto"/>
        </w:rPr>
        <w:t>年４月１日から施行する。</w:t>
      </w:r>
    </w:p>
    <w:p>
      <w:pPr>
        <w:pStyle w:val="0"/>
        <w:spacing w:before="0" w:beforeLines="0" w:beforeAutospacing="0" w:after="0" w:afterLines="0" w:afterAutospacing="0" w:line="220" w:lineRule="atLeast"/>
        <w:ind w:left="22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（経過措置）</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この告示の施行の日の前日までに、合併前の東部町伝統的建造物群保存地区補助金交付要綱（昭和</w:t>
      </w:r>
      <w:r>
        <w:rPr>
          <w:rFonts w:hint="default" w:ascii="ＭＳ 明朝" w:hAnsi="ＭＳ 明朝" w:eastAsia="ＭＳ 明朝"/>
          <w:b w:val="0"/>
          <w:i w:val="0"/>
          <w:strike w:val="0"/>
          <w:color w:val="000000"/>
          <w:sz w:val="22"/>
          <w:u w:val="none" w:color="auto"/>
        </w:rPr>
        <w:t>62</w:t>
      </w:r>
      <w:r>
        <w:rPr>
          <w:rFonts w:hint="default" w:ascii="ＭＳ 明朝" w:hAnsi="ＭＳ 明朝" w:eastAsia="ＭＳ 明朝"/>
          <w:b w:val="0"/>
          <w:i w:val="0"/>
          <w:strike w:val="0"/>
          <w:color w:val="000000"/>
          <w:sz w:val="22"/>
          <w:u w:val="none" w:color="auto"/>
        </w:rPr>
        <w:t>年東部町告示第８号）の規定に基づきなされた決定、手続その他の行為は、この告示の相当規定によりなされたものとみなす。</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附　則（平成</w:t>
      </w:r>
      <w:r>
        <w:rPr>
          <w:rFonts w:hint="default" w:ascii="ＭＳ 明朝" w:hAnsi="ＭＳ 明朝" w:eastAsia="ＭＳ 明朝"/>
          <w:b w:val="0"/>
          <w:i w:val="0"/>
          <w:strike w:val="0"/>
          <w:color w:val="000000"/>
          <w:sz w:val="22"/>
          <w:u w:val="none" w:color="auto"/>
        </w:rPr>
        <w:t>24</w:t>
      </w:r>
      <w:r>
        <w:rPr>
          <w:rFonts w:hint="default" w:ascii="ＭＳ 明朝" w:hAnsi="ＭＳ 明朝" w:eastAsia="ＭＳ 明朝"/>
          <w:b w:val="0"/>
          <w:i w:val="0"/>
          <w:strike w:val="0"/>
          <w:color w:val="000000"/>
          <w:sz w:val="22"/>
          <w:u w:val="none" w:color="auto"/>
        </w:rPr>
        <w:t>年５月</w:t>
      </w:r>
      <w:r>
        <w:rPr>
          <w:rFonts w:hint="default" w:ascii="ＭＳ 明朝" w:hAnsi="ＭＳ 明朝" w:eastAsia="ＭＳ 明朝"/>
          <w:b w:val="0"/>
          <w:i w:val="0"/>
          <w:strike w:val="0"/>
          <w:color w:val="000000"/>
          <w:sz w:val="22"/>
          <w:u w:val="none" w:color="auto"/>
        </w:rPr>
        <w:t>17</w:t>
      </w:r>
      <w:r>
        <w:rPr>
          <w:rFonts w:hint="default" w:ascii="ＭＳ 明朝" w:hAnsi="ＭＳ 明朝" w:eastAsia="ＭＳ 明朝"/>
          <w:b w:val="0"/>
          <w:i w:val="0"/>
          <w:strike w:val="0"/>
          <w:color w:val="000000"/>
          <w:sz w:val="22"/>
          <w:u w:val="none" w:color="auto"/>
        </w:rPr>
        <w:t>日告示第</w:t>
      </w:r>
      <w:r>
        <w:rPr>
          <w:rFonts w:hint="default" w:ascii="ＭＳ 明朝" w:hAnsi="ＭＳ 明朝" w:eastAsia="ＭＳ 明朝"/>
          <w:b w:val="0"/>
          <w:i w:val="0"/>
          <w:strike w:val="0"/>
          <w:color w:val="000000"/>
          <w:sz w:val="22"/>
          <w:u w:val="none" w:color="auto"/>
        </w:rPr>
        <w:t>26</w:t>
      </w:r>
      <w:r>
        <w:rPr>
          <w:rFonts w:hint="default" w:ascii="ＭＳ 明朝" w:hAnsi="ＭＳ 明朝" w:eastAsia="ＭＳ 明朝"/>
          <w:b w:val="0"/>
          <w:i w:val="0"/>
          <w:strike w:val="0"/>
          <w:color w:val="000000"/>
          <w:sz w:val="22"/>
          <w:u w:val="none" w:color="auto"/>
        </w:rPr>
        <w:t>号）</w:t>
      </w:r>
    </w:p>
    <w:p>
      <w:pPr>
        <w:pStyle w:val="0"/>
        <w:spacing w:before="0" w:beforeLines="0" w:beforeAutospacing="0" w:after="0" w:afterLines="0" w:afterAutospacing="0" w:line="220" w:lineRule="atLeast"/>
        <w:ind w:firstLine="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この告示は、告示の日から施行する。</w:t>
      </w:r>
    </w:p>
    <w:p>
      <w:pPr>
        <w:pStyle w:val="0"/>
        <w:spacing w:before="0" w:beforeLines="0" w:beforeAutospacing="0" w:after="0" w:afterLines="0" w:afterAutospacing="0" w:line="220" w:lineRule="atLeast"/>
        <w:ind w:left="660"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附　則（平成</w:t>
      </w:r>
      <w:r>
        <w:rPr>
          <w:rFonts w:hint="default" w:ascii="ＭＳ 明朝" w:hAnsi="ＭＳ 明朝" w:eastAsia="ＭＳ 明朝"/>
          <w:b w:val="0"/>
          <w:i w:val="0"/>
          <w:strike w:val="0"/>
          <w:color w:val="000000"/>
          <w:sz w:val="22"/>
          <w:u w:val="none" w:color="auto"/>
        </w:rPr>
        <w:t>29</w:t>
      </w:r>
      <w:r>
        <w:rPr>
          <w:rFonts w:hint="default" w:ascii="ＭＳ 明朝" w:hAnsi="ＭＳ 明朝" w:eastAsia="ＭＳ 明朝"/>
          <w:b w:val="0"/>
          <w:i w:val="0"/>
          <w:strike w:val="0"/>
          <w:color w:val="000000"/>
          <w:sz w:val="22"/>
          <w:u w:val="none" w:color="auto"/>
        </w:rPr>
        <w:t>年３月</w:t>
      </w:r>
      <w:r>
        <w:rPr>
          <w:rFonts w:hint="default" w:ascii="ＭＳ 明朝" w:hAnsi="ＭＳ 明朝" w:eastAsia="ＭＳ 明朝"/>
          <w:b w:val="0"/>
          <w:i w:val="0"/>
          <w:strike w:val="0"/>
          <w:color w:val="000000"/>
          <w:sz w:val="22"/>
          <w:u w:val="none" w:color="auto"/>
        </w:rPr>
        <w:t>29</w:t>
      </w:r>
      <w:r>
        <w:rPr>
          <w:rFonts w:hint="default" w:ascii="ＭＳ 明朝" w:hAnsi="ＭＳ 明朝" w:eastAsia="ＭＳ 明朝"/>
          <w:b w:val="0"/>
          <w:i w:val="0"/>
          <w:strike w:val="0"/>
          <w:color w:val="000000"/>
          <w:sz w:val="22"/>
          <w:u w:val="none" w:color="auto"/>
        </w:rPr>
        <w:t>日告示第</w:t>
      </w:r>
      <w:r>
        <w:rPr>
          <w:rFonts w:hint="default" w:ascii="ＭＳ 明朝" w:hAnsi="ＭＳ 明朝" w:eastAsia="ＭＳ 明朝"/>
          <w:b w:val="0"/>
          <w:i w:val="0"/>
          <w:strike w:val="0"/>
          <w:color w:val="000000"/>
          <w:sz w:val="22"/>
          <w:u w:val="none" w:color="auto"/>
        </w:rPr>
        <w:t>24</w:t>
      </w:r>
      <w:r>
        <w:rPr>
          <w:rFonts w:hint="default" w:ascii="ＭＳ 明朝" w:hAnsi="ＭＳ 明朝" w:eastAsia="ＭＳ 明朝"/>
          <w:b w:val="0"/>
          <w:i w:val="0"/>
          <w:strike w:val="0"/>
          <w:color w:val="000000"/>
          <w:sz w:val="22"/>
          <w:u w:val="none" w:color="auto"/>
        </w:rPr>
        <w:t>号）</w:t>
      </w:r>
    </w:p>
    <w:p>
      <w:pPr>
        <w:pStyle w:val="0"/>
        <w:spacing w:before="0" w:beforeLines="0" w:beforeAutospacing="0" w:after="0" w:afterLines="0" w:afterAutospacing="0" w:line="220" w:lineRule="atLeast"/>
        <w:ind w:firstLine="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この告示は、平成</w:t>
      </w:r>
      <w:r>
        <w:rPr>
          <w:rFonts w:hint="default" w:ascii="ＭＳ 明朝" w:hAnsi="ＭＳ 明朝" w:eastAsia="ＭＳ 明朝"/>
          <w:b w:val="0"/>
          <w:i w:val="0"/>
          <w:strike w:val="0"/>
          <w:color w:val="000000"/>
          <w:sz w:val="22"/>
          <w:u w:val="none" w:color="auto"/>
        </w:rPr>
        <w:t>29</w:t>
      </w:r>
      <w:r>
        <w:rPr>
          <w:rFonts w:hint="default" w:ascii="ＭＳ 明朝" w:hAnsi="ＭＳ 明朝" w:eastAsia="ＭＳ 明朝"/>
          <w:b w:val="0"/>
          <w:i w:val="0"/>
          <w:strike w:val="0"/>
          <w:color w:val="000000"/>
          <w:sz w:val="22"/>
          <w:u w:val="none" w:color="auto"/>
        </w:rPr>
        <w:t>年４月１日から施行する。</w:t>
      </w:r>
    </w:p>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別表第１（第２条関係）</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4535"/>
        <w:gridCol w:w="4535"/>
      </w:tblGrid>
      <w:tr>
        <w:trPr/>
        <w:tc>
          <w:tcPr>
            <w:tcW w:w="4535"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補助対象経費</w:t>
            </w:r>
          </w:p>
        </w:tc>
        <w:tc>
          <w:tcPr>
            <w:tcW w:w="4535"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補助率等</w:t>
            </w:r>
          </w:p>
        </w:tc>
      </w:tr>
      <w:tr>
        <w:trPr/>
        <w:tc>
          <w:tcPr>
            <w:tcW w:w="4535"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１　指定文化財の修理、復旧、保存、公開その他その保存及び活用に要する経費</w:t>
            </w:r>
          </w:p>
        </w:tc>
        <w:tc>
          <w:tcPr>
            <w:tcW w:w="453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補助対象経費から国及び県の補助額を控除した額の</w:t>
            </w: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分の５以内。ただし、</w:t>
            </w:r>
            <w:r>
              <w:rPr>
                <w:rFonts w:hint="default" w:ascii="ＭＳ 明朝" w:hAnsi="ＭＳ 明朝" w:eastAsia="ＭＳ 明朝"/>
                <w:b w:val="0"/>
                <w:i w:val="0"/>
                <w:strike w:val="0"/>
                <w:color w:val="000000"/>
                <w:sz w:val="22"/>
                <w:u w:val="none" w:color="auto"/>
              </w:rPr>
              <w:t>300</w:t>
            </w:r>
            <w:r>
              <w:rPr>
                <w:rFonts w:hint="default" w:ascii="ＭＳ 明朝" w:hAnsi="ＭＳ 明朝" w:eastAsia="ＭＳ 明朝"/>
                <w:b w:val="0"/>
                <w:i w:val="0"/>
                <w:strike w:val="0"/>
                <w:color w:val="000000"/>
                <w:sz w:val="22"/>
                <w:u w:val="none" w:color="auto"/>
              </w:rPr>
              <w:t>万円を限度とする。</w:t>
            </w:r>
          </w:p>
        </w:tc>
      </w:tr>
      <w:tr>
        <w:trPr/>
        <w:tc>
          <w:tcPr>
            <w:tcW w:w="4535"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２　指定文化財の保存及び活用のため、当該指定文化財と一体をなす物件の整備に要する経費で、市長が認めたもの</w:t>
            </w:r>
          </w:p>
        </w:tc>
        <w:tc>
          <w:tcPr>
            <w:tcW w:w="453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分の５以内。ただし、</w:t>
            </w:r>
            <w:r>
              <w:rPr>
                <w:rFonts w:hint="default" w:ascii="ＭＳ 明朝" w:hAnsi="ＭＳ 明朝" w:eastAsia="ＭＳ 明朝"/>
                <w:b w:val="0"/>
                <w:i w:val="0"/>
                <w:strike w:val="0"/>
                <w:color w:val="000000"/>
                <w:sz w:val="22"/>
                <w:u w:val="none" w:color="auto"/>
              </w:rPr>
              <w:t>300</w:t>
            </w:r>
            <w:r>
              <w:rPr>
                <w:rFonts w:hint="default" w:ascii="ＭＳ 明朝" w:hAnsi="ＭＳ 明朝" w:eastAsia="ＭＳ 明朝"/>
                <w:b w:val="0"/>
                <w:i w:val="0"/>
                <w:strike w:val="0"/>
                <w:color w:val="000000"/>
                <w:sz w:val="22"/>
                <w:u w:val="none" w:color="auto"/>
              </w:rPr>
              <w:t>万円を限度とする。</w:t>
            </w:r>
          </w:p>
        </w:tc>
      </w:tr>
      <w:tr>
        <w:trPr/>
        <w:tc>
          <w:tcPr>
            <w:tcW w:w="4535"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３　１及び２以外の文化財保護事業で、市長が認めた文化財の保存及び活用に要する経費</w:t>
            </w:r>
          </w:p>
        </w:tc>
        <w:tc>
          <w:tcPr>
            <w:tcW w:w="4535"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分の５以内。ただし、</w:t>
            </w:r>
            <w:r>
              <w:rPr>
                <w:rFonts w:hint="default" w:ascii="ＭＳ 明朝" w:hAnsi="ＭＳ 明朝" w:eastAsia="ＭＳ 明朝"/>
                <w:b w:val="0"/>
                <w:i w:val="0"/>
                <w:strike w:val="0"/>
                <w:color w:val="000000"/>
                <w:sz w:val="22"/>
                <w:u w:val="none" w:color="auto"/>
              </w:rPr>
              <w:t>30</w:t>
            </w:r>
            <w:r>
              <w:rPr>
                <w:rFonts w:hint="default" w:ascii="ＭＳ 明朝" w:hAnsi="ＭＳ 明朝" w:eastAsia="ＭＳ 明朝"/>
                <w:b w:val="0"/>
                <w:i w:val="0"/>
                <w:strike w:val="0"/>
                <w:color w:val="000000"/>
                <w:sz w:val="22"/>
                <w:u w:val="none" w:color="auto"/>
              </w:rPr>
              <w:t>万円を限度とする。</w:t>
            </w:r>
          </w:p>
        </w:tc>
      </w:tr>
    </w:tbl>
    <w:p>
      <w:pPr>
        <w:pStyle w:val="0"/>
        <w:spacing w:before="0" w:beforeLines="0" w:beforeAutospacing="0" w:after="0" w:afterLines="0" w:afterAutospacing="0" w:line="220" w:lineRule="atLeast"/>
        <w:ind w:left="22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別表第２（第３条関係）</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１　伝統的建造物及び環境物件</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1814"/>
        <w:gridCol w:w="3991"/>
        <w:gridCol w:w="1814"/>
        <w:gridCol w:w="1451"/>
      </w:tblGrid>
      <w:tr>
        <w:trPr/>
        <w:tc>
          <w:tcPr>
            <w:tcW w:w="1814"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区分</w:t>
            </w:r>
          </w:p>
        </w:tc>
        <w:tc>
          <w:tcPr>
            <w:tcW w:w="3991"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補助対象</w:t>
            </w:r>
          </w:p>
        </w:tc>
        <w:tc>
          <w:tcPr>
            <w:tcW w:w="1814"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補助率</w:t>
            </w:r>
          </w:p>
        </w:tc>
        <w:tc>
          <w:tcPr>
            <w:tcW w:w="1451"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補助限度額</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主屋</w:t>
            </w:r>
          </w:p>
        </w:tc>
        <w:tc>
          <w:tcPr>
            <w:tcW w:w="3991" w:type="dxa"/>
            <w:vMerge w:val="restart"/>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外観保存のための修理に要する経費。ただし、外観の保存上又は構造耐力上必要があると認められる場合は、基礎、土台、床組、柱、梁材、横架材、小屋組等の構造材に要する経費を含むことができる。</w:t>
            </w:r>
          </w:p>
        </w:tc>
        <w:tc>
          <w:tcPr>
            <w:tcW w:w="1814" w:type="dxa"/>
            <w:vMerge w:val="restart"/>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分の８以内</w:t>
            </w: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万円</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600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蚕室、桑屋</w:t>
            </w:r>
          </w:p>
        </w:tc>
        <w:tc>
          <w:tcPr>
            <w:tcW w:w="3991"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814"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500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土蔵</w:t>
            </w:r>
          </w:p>
        </w:tc>
        <w:tc>
          <w:tcPr>
            <w:tcW w:w="3991"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814"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400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長屋門</w:t>
            </w:r>
          </w:p>
        </w:tc>
        <w:tc>
          <w:tcPr>
            <w:tcW w:w="3991"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814"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200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社寺建造物</w:t>
            </w:r>
          </w:p>
        </w:tc>
        <w:tc>
          <w:tcPr>
            <w:tcW w:w="3991"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814"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分の５以内</w:t>
            </w: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500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上記に属さない建築物</w:t>
            </w:r>
          </w:p>
        </w:tc>
        <w:tc>
          <w:tcPr>
            <w:tcW w:w="3991"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814"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分の８以内</w:t>
            </w: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工作物及び環境物件</w:t>
            </w:r>
          </w:p>
        </w:tc>
        <w:tc>
          <w:tcPr>
            <w:tcW w:w="399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修理又は復旧に要する経費</w:t>
            </w:r>
          </w:p>
        </w:tc>
        <w:tc>
          <w:tcPr>
            <w:tcW w:w="1814"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分の５以内</w:t>
            </w: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100</w:t>
            </w:r>
          </w:p>
        </w:tc>
      </w:tr>
    </w:tbl>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備考　補助限度額は、保存計画に定める１棟又は１基ごとに適用するものとする。</w:t>
      </w: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p>
    <w:p>
      <w:pPr>
        <w:pStyle w:val="0"/>
        <w:spacing w:before="0" w:beforeLines="0" w:beforeAutospacing="0" w:after="0" w:afterLines="0" w:afterAutospacing="0" w:line="220" w:lineRule="atLeast"/>
        <w:ind w:left="440" w:hanging="220"/>
        <w:jc w:val="both"/>
        <w:rPr>
          <w:rFonts w:hint="eastAsia" w:ascii="ＭＳ 明朝" w:hAnsi="ＭＳ 明朝" w:eastAsia="ＭＳ 明朝"/>
          <w:b w:val="0"/>
          <w:i w:val="0"/>
          <w:strike w:val="0"/>
          <w:color w:val="000000"/>
          <w:u w:val="none" w:color="auto"/>
        </w:rPr>
      </w:pPr>
      <w:bookmarkStart w:id="0" w:name="_GoBack"/>
      <w:bookmarkEnd w:id="0"/>
      <w:r>
        <w:rPr>
          <w:rFonts w:hint="default" w:ascii="ＭＳ 明朝" w:hAnsi="ＭＳ 明朝" w:eastAsia="ＭＳ 明朝"/>
          <w:b w:val="0"/>
          <w:i w:val="0"/>
          <w:strike w:val="0"/>
          <w:color w:val="000000"/>
          <w:sz w:val="22"/>
          <w:u w:val="none" w:color="auto"/>
        </w:rPr>
        <w:t>２　伝統的建造物以外の物件</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1814"/>
        <w:gridCol w:w="3991"/>
        <w:gridCol w:w="1814"/>
        <w:gridCol w:w="1451"/>
      </w:tblGrid>
      <w:tr>
        <w:trPr/>
        <w:tc>
          <w:tcPr>
            <w:tcW w:w="1814"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区分</w:t>
            </w:r>
          </w:p>
        </w:tc>
        <w:tc>
          <w:tcPr>
            <w:tcW w:w="3991"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補助対象</w:t>
            </w:r>
          </w:p>
        </w:tc>
        <w:tc>
          <w:tcPr>
            <w:tcW w:w="1814"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補助率</w:t>
            </w:r>
          </w:p>
        </w:tc>
        <w:tc>
          <w:tcPr>
            <w:tcW w:w="1451"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center"/>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補助限度額</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主屋</w:t>
            </w:r>
          </w:p>
        </w:tc>
        <w:tc>
          <w:tcPr>
            <w:tcW w:w="3991" w:type="dxa"/>
            <w:vMerge w:val="restart"/>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新築、増築又は改築については、原則として公道に面したもので、かつ、外観を伝統的建造物に模したもの又はこれに調和した和風建築とするものに係る経費のうち、公道正面に臨む屋根、外壁、建具、軒先等の修景に要する経費（外壁の修理に要する経費には、下地経費を含み、電気設備その他の設備に要する経費は含まないものとする。）</w:t>
            </w:r>
          </w:p>
        </w:tc>
        <w:tc>
          <w:tcPr>
            <w:tcW w:w="1814" w:type="dxa"/>
            <w:vMerge w:val="restart"/>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r>
              <w:rPr>
                <w:rFonts w:hint="default" w:ascii="ＭＳ 明朝" w:hAnsi="ＭＳ 明朝" w:eastAsia="ＭＳ 明朝"/>
                <w:b w:val="0"/>
                <w:i w:val="0"/>
                <w:strike w:val="0"/>
                <w:color w:val="000000"/>
                <w:sz w:val="22"/>
                <w:u w:val="none" w:color="auto"/>
              </w:rPr>
              <w:t>分の６以内</w:t>
            </w: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万円</w:t>
            </w:r>
          </w:p>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200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小屋、車庫等</w:t>
            </w:r>
          </w:p>
        </w:tc>
        <w:tc>
          <w:tcPr>
            <w:tcW w:w="3991"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814"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50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門及び塀</w:t>
            </w:r>
          </w:p>
        </w:tc>
        <w:tc>
          <w:tcPr>
            <w:tcW w:w="399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伝統的な形式により、周囲の景観に調和した新設、改築又は復旧に要する経費</w:t>
            </w:r>
          </w:p>
        </w:tc>
        <w:tc>
          <w:tcPr>
            <w:tcW w:w="1814"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50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生垣</w:t>
            </w:r>
          </w:p>
        </w:tc>
        <w:tc>
          <w:tcPr>
            <w:tcW w:w="399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周囲の景観に調和した新設又は改植に要する経費</w:t>
            </w:r>
          </w:p>
        </w:tc>
        <w:tc>
          <w:tcPr>
            <w:tcW w:w="1814"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10</w:t>
            </w:r>
          </w:p>
        </w:tc>
      </w:tr>
      <w:tr>
        <w:trPr/>
        <w:tc>
          <w:tcPr>
            <w:tcW w:w="1814"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石垣及び側溝</w:t>
            </w:r>
          </w:p>
        </w:tc>
        <w:tc>
          <w:tcPr>
            <w:tcW w:w="399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周囲の景観に調和した新設又は改良に要する経費</w:t>
            </w:r>
          </w:p>
        </w:tc>
        <w:tc>
          <w:tcPr>
            <w:tcW w:w="1814" w:type="dxa"/>
            <w:vMerge w:val="continue"/>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both"/>
              <w:rPr>
                <w:rFonts w:hint="eastAsia" w:ascii="ＭＳ 明朝" w:hAnsi="ＭＳ 明朝" w:eastAsia="ＭＳ 明朝"/>
                <w:b w:val="0"/>
                <w:i w:val="0"/>
                <w:strike w:val="0"/>
                <w:color w:val="000000"/>
                <w:u w:val="none" w:color="auto"/>
              </w:rPr>
            </w:pPr>
          </w:p>
        </w:tc>
        <w:tc>
          <w:tcPr>
            <w:tcW w:w="1451"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220" w:lineRule="atLeast"/>
              <w:ind w:firstLine="0"/>
              <w:jc w:val="right"/>
              <w:rPr>
                <w:rFonts w:hint="eastAsia" w:ascii="ＭＳ 明朝" w:hAnsi="ＭＳ 明朝" w:eastAsia="ＭＳ 明朝"/>
                <w:b w:val="0"/>
                <w:i w:val="0"/>
                <w:strike w:val="0"/>
                <w:color w:val="000000"/>
                <w:u w:val="none" w:color="auto"/>
              </w:rPr>
            </w:pPr>
            <w:r>
              <w:rPr>
                <w:rFonts w:hint="default" w:ascii="ＭＳ 明朝" w:hAnsi="ＭＳ 明朝" w:eastAsia="ＭＳ 明朝"/>
                <w:b w:val="0"/>
                <w:i w:val="0"/>
                <w:strike w:val="0"/>
                <w:color w:val="000000"/>
                <w:sz w:val="22"/>
                <w:u w:val="none" w:color="auto"/>
              </w:rPr>
              <w:t>30</w:t>
            </w:r>
          </w:p>
        </w:tc>
      </w:tr>
    </w:tbl>
    <w:p>
      <w:pPr>
        <w:pStyle w:val="0"/>
        <w:spacing w:line="220" w:lineRule="atLeast"/>
        <w:ind w:firstLine="0"/>
        <w:jc w:val="both"/>
        <w:rPr>
          <w:rFonts w:hint="eastAsia" w:ascii="ＭＳ 明朝" w:hAnsi="ＭＳ 明朝" w:eastAsia="ＭＳ 明朝"/>
          <w:b w:val="0"/>
          <w:i w:val="0"/>
          <w:color w:val="000000"/>
        </w:rPr>
      </w:pPr>
      <w:bookmarkStart w:id="1" w:name="last"/>
      <w:bookmarkEnd w:id="1"/>
    </w:p>
    <w:sectPr>
      <w:footerReference r:id="rId5" w:type="default"/>
      <w:pgSz w:w="11905" w:h="16837"/>
      <w:pgMar w:top="1700" w:right="1417" w:bottom="1700" w:left="1417" w:header="850" w:footer="850" w:gutter="0"/>
      <w:cols w:space="720"/>
      <w:textDirection w:val="lrTb"/>
      <w:docGrid w:type="linesAndChars" w:linePitch="3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64" w:lineRule="atLeast"/>
      <w:ind w:firstLine="0"/>
      <w:jc w:val="center"/>
      <w:rPr>
        <w:rFonts w:hint="eastAsia" w:ascii="ＭＳ 明朝" w:hAnsi="ＭＳ 明朝" w:eastAsia="ＭＳ 明朝"/>
        <w:b w:val="0"/>
        <w:i w:val="0"/>
        <w:color w:val="000000"/>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0"/>
        <w:i w:val="0"/>
        <w:color w:val="000000"/>
        <w:sz w:val="22"/>
        <w:u w:val="none" w:color="auto"/>
      </w:rPr>
      <w:t>2</w:t>
    </w:r>
    <w:r>
      <w:rPr>
        <w:rFonts w:hint="eastAsia"/>
      </w:rPr>
      <w:fldChar w:fldCharType="end"/>
    </w:r>
    <w:r>
      <w:rPr>
        <w:rFonts w:hint="default" w:ascii="ＭＳ 明朝" w:hAnsi="ＭＳ 明朝" w:eastAsia="ＭＳ 明朝"/>
        <w:b w:val="0"/>
        <w:i w:val="0"/>
        <w:strike w:val="0"/>
        <w:color w:val="000000"/>
        <w:sz w:val="22"/>
        <w:u w:val="none" w:color="auto"/>
      </w:rPr>
      <w:t>/</w:t>
    </w:r>
    <w:r>
      <w:rPr>
        <w:rFonts w:hint="eastAsia"/>
      </w:rPr>
      <w:fldChar w:fldCharType="begin"/>
    </w:r>
    <w:r>
      <w:rPr>
        <w:rFonts w:hint="default" w:ascii="ＭＳ 明朝" w:hAnsi="ＭＳ 明朝" w:eastAsia="ＭＳ 明朝"/>
        <w:b w:val="0"/>
        <w:i w:val="0"/>
        <w:color w:val="000000"/>
        <w:sz w:val="22"/>
      </w:rPr>
      <w:instrText xml:space="preserve">PageRef last </w:instrText>
    </w:r>
    <w:r>
      <w:rPr>
        <w:rFonts w:hint="eastAsia"/>
      </w:rPr>
      <w:fldChar w:fldCharType="separate"/>
    </w:r>
    <w:r>
      <w:rPr>
        <w:rFonts w:hint="default" w:ascii="ＭＳ 明朝" w:hAnsi="ＭＳ 明朝" w:eastAsia="ＭＳ 明朝"/>
        <w:b w:val="0"/>
        <w:i w:val="0"/>
        <w:color w:val="000000"/>
        <w:sz w:val="22"/>
      </w:rPr>
      <w:t>3</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0"/>
  <w:drawingGridVerticalSpacing w:val="394"/>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pPr>
      <w:autoSpaceDE w:val="0"/>
      <w:autoSpaceDN w:val="0"/>
      <w:adjustRightInd w:val="0"/>
      <w:ind w:left="0" w:right="0"/>
      <w:jc w:val="left"/>
      <w:textAlignment w:val="auto"/>
    </w:pPr>
    <w:rPr>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3</Pages>
  <Words>47</Words>
  <Characters>1878</Characters>
  <Application>JUST Note</Application>
  <Lines>761</Lines>
  <Paragraphs>83</Paragraphs>
  <CharactersWithSpaces>1898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小暮 絵里子</cp:lastModifiedBy>
  <cp:lastPrinted>2025-11-12T00:09:23Z</cp:lastPrinted>
  <dcterms:created xsi:type="dcterms:W3CDTF">2024-07-02T00:07:00Z</dcterms:created>
  <dcterms:modified xsi:type="dcterms:W3CDTF">2025-10-24T08:02:41Z</dcterms:modified>
  <cp:revision>3</cp:revision>
</cp:coreProperties>
</file>