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様式６</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企画提案書等の取扱いに関する回答書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企画提案書等の取扱いに関する確認について、次のとおり回答します。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件名：東御市シティプロモーション強化事業業務委託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上記対象案件に関する企画提案書等に、当社の技術力やノウハウ等、公開又は公表することにより当社の正当な利益を害する情報にあたると考える箇所の有無</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ind w:firstLine="184" w:firstLineChars="100"/>
        <w:jc w:val="center"/>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あ　り　・　な　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※「あり」の場合</w:t>
      </w: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企画提案書等において当社の正当な利益を害すると考える部分は、次のとおりです。</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１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２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３　</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bookmarkStart w:id="0" w:name="_GoBack"/>
      <w:bookmarkEnd w:id="0"/>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8</Pages>
  <Words>3</Words>
  <Characters>1208</Characters>
  <Application>JUST Note</Application>
  <Lines>1019</Lines>
  <Paragraphs>122</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樋村 信祐</cp:lastModifiedBy>
  <dcterms:created xsi:type="dcterms:W3CDTF">2022-05-16T03:53:00Z</dcterms:created>
  <dcterms:modified xsi:type="dcterms:W3CDTF">2024-03-07T02:56:20Z</dcterms:modified>
  <cp:revision>68</cp:revision>
</cp:coreProperties>
</file>