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rPr>
      </w:pPr>
      <w:r>
        <w:rPr>
          <w:rFonts w:hint="eastAsia"/>
        </w:rPr>
        <mc:AlternateContent>
          <mc:Choice Requires="wps">
            <w:drawing>
              <wp:anchor simplePos="0" relativeHeight="2" behindDoc="0" locked="0" layoutInCell="1" hidden="0" allowOverlap="1">
                <wp:simplePos x="0" y="0"/>
                <wp:positionH relativeFrom="column">
                  <wp:posOffset>0</wp:posOffset>
                </wp:positionH>
                <wp:positionV relativeFrom="paragraph">
                  <wp:posOffset>50165</wp:posOffset>
                </wp:positionV>
                <wp:extent cx="914400" cy="2286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914400" cy="228600"/>
                        </a:xfrm>
                        <a:prstGeom prst="rect">
                          <a:avLst/>
                        </a:prstGeom>
                        <a:noFill/>
                        <a:ln>
                          <a:miter/>
                        </a:ln>
                      </wps:spPr>
                      <wps:txbx>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（様式</w:t>
                            </w:r>
                            <w:r>
                              <w:rPr>
                                <w:rFonts w:hint="eastAsia" w:ascii="ＭＳ ゴシック" w:hAnsi="ＭＳ ゴシック" w:eastAsia="ＭＳ ゴシック"/>
                                <w:sz w:val="20"/>
                              </w:rPr>
                              <w:t>2</w:t>
                            </w:r>
                            <w:r>
                              <w:rPr>
                                <w:rFonts w:hint="eastAsia" w:ascii="ＭＳ ゴシック" w:hAnsi="ＭＳ ゴシック" w:eastAsia="ＭＳ ゴシック"/>
                                <w:sz w:val="20"/>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95pt;mso-position-vertical-relative:text;mso-position-horizontal-relative:text;position:absolute;height:18pt;width:72pt;margin-left:0pt;z-index:2;" o:spid="_x0000_s1026" o:allowincell="t" o:allowoverlap="t" filled="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（様式</w:t>
                      </w:r>
                      <w:r>
                        <w:rPr>
                          <w:rFonts w:hint="eastAsia" w:ascii="ＭＳ ゴシック" w:hAnsi="ＭＳ ゴシック" w:eastAsia="ＭＳ ゴシック"/>
                          <w:sz w:val="20"/>
                        </w:rPr>
                        <w:t>2</w:t>
                      </w:r>
                      <w:r>
                        <w:rPr>
                          <w:rFonts w:hint="eastAsia" w:ascii="ＭＳ ゴシック" w:hAnsi="ＭＳ ゴシック" w:eastAsia="ＭＳ ゴシック"/>
                          <w:sz w:val="20"/>
                        </w:rPr>
                        <w:t>）</w:t>
                      </w:r>
                    </w:p>
                  </w:txbxContent>
                </v:textbox>
                <v:imagedata o:title=""/>
                <w10:wrap type="none" anchorx="text" anchory="text"/>
              </v:shape>
            </w:pict>
          </mc:Fallback>
        </mc:AlternateContent>
      </w:r>
    </w:p>
    <w:p>
      <w:pPr>
        <w:pStyle w:val="0"/>
        <w:rPr>
          <w:rFonts w:hint="eastAsia" w:ascii="ＭＳ ゴシック" w:hAnsi="ＭＳ ゴシック" w:eastAsia="ＭＳ ゴシック"/>
        </w:rPr>
      </w:pPr>
    </w:p>
    <w:p>
      <w:pPr>
        <w:pStyle w:val="0"/>
        <w:jc w:val="center"/>
        <w:rPr>
          <w:rFonts w:hint="eastAsia" w:ascii="ＭＳ ゴシック" w:hAnsi="ＭＳ ゴシック" w:eastAsia="ＭＳ ゴシック"/>
          <w:b w:val="1"/>
          <w:sz w:val="28"/>
        </w:rPr>
      </w:pPr>
      <w:r>
        <w:rPr>
          <w:rFonts w:hint="eastAsia" w:ascii="ＭＳ ゴシック" w:hAnsi="ＭＳ ゴシック" w:eastAsia="ＭＳ ゴシック"/>
          <w:b w:val="1"/>
          <w:spacing w:val="244"/>
          <w:sz w:val="28"/>
          <w:fitText w:val="1820" w:id="1"/>
        </w:rPr>
        <w:t>誓約</w:t>
      </w:r>
      <w:r>
        <w:rPr>
          <w:rFonts w:hint="eastAsia" w:ascii="ＭＳ ゴシック" w:hAnsi="ＭＳ ゴシック" w:eastAsia="ＭＳ ゴシック"/>
          <w:b w:val="1"/>
          <w:spacing w:val="0"/>
          <w:sz w:val="28"/>
          <w:fitText w:val="1820" w:id="1"/>
        </w:rPr>
        <w:t>書</w:t>
      </w:r>
    </w:p>
    <w:p>
      <w:pPr>
        <w:pStyle w:val="0"/>
        <w:jc w:val="right"/>
        <w:rPr>
          <w:rFonts w:hint="eastAsia" w:ascii="ＭＳ ゴシック" w:hAnsi="ＭＳ ゴシック" w:eastAsia="ＭＳ ゴシック"/>
        </w:rPr>
      </w:pPr>
      <w:r>
        <w:rPr>
          <w:rFonts w:hint="eastAsia" w:ascii="ＭＳ ゴシック" w:hAnsi="ＭＳ ゴシック" w:eastAsia="ＭＳ ゴシック"/>
        </w:rPr>
        <w:t>令和元年　　月　　日</w:t>
      </w:r>
    </w:p>
    <w:p>
      <w:pPr>
        <w:pStyle w:val="0"/>
        <w:rPr>
          <w:rFonts w:hint="eastAsia" w:ascii="ＭＳ ゴシック" w:hAnsi="ＭＳ ゴシック" w:eastAsia="ＭＳ ゴシック"/>
        </w:rPr>
      </w:pPr>
    </w:p>
    <w:p>
      <w:pPr>
        <w:pStyle w:val="0"/>
        <w:ind w:right="840" w:rightChars="400" w:firstLine="210" w:firstLineChars="100"/>
        <w:rPr>
          <w:rFonts w:hint="eastAsia" w:ascii="ＭＳ ゴシック" w:hAnsi="ＭＳ ゴシック" w:eastAsia="ＭＳ ゴシック"/>
        </w:rPr>
      </w:pPr>
      <w:r>
        <w:rPr>
          <w:rFonts w:hint="eastAsia" w:ascii="ＭＳ ゴシック" w:hAnsi="ＭＳ ゴシック" w:eastAsia="ＭＳ ゴシック"/>
        </w:rPr>
        <w:t>東御市長</w:t>
      </w:r>
    </w:p>
    <w:p>
      <w:pPr>
        <w:pStyle w:val="0"/>
        <w:jc w:val="right"/>
        <w:rPr>
          <w:rFonts w:hint="eastAsia" w:ascii="ＭＳ ゴシック" w:hAnsi="ＭＳ ゴシック" w:eastAsia="ＭＳ ゴシック"/>
        </w:rPr>
      </w:pPr>
    </w:p>
    <w:p>
      <w:pPr>
        <w:pStyle w:val="0"/>
        <w:wordWrap w:val="0"/>
        <w:ind w:left="0" w:leftChars="0" w:right="840" w:rightChars="400" w:firstLine="4200" w:firstLineChars="2000"/>
        <w:rPr>
          <w:rFonts w:hint="eastAsia" w:ascii="ＭＳ ゴシック" w:hAnsi="ＭＳ ゴシック" w:eastAsia="ＭＳ ゴシック"/>
        </w:rPr>
      </w:pPr>
      <w:r>
        <w:rPr>
          <w:rFonts w:hint="eastAsia" w:ascii="ＭＳ ゴシック" w:hAnsi="ＭＳ ゴシック" w:eastAsia="ＭＳ ゴシック"/>
        </w:rPr>
        <w:t>住　　　　所</w:t>
      </w:r>
    </w:p>
    <w:p>
      <w:pPr>
        <w:pStyle w:val="0"/>
        <w:wordWrap w:val="0"/>
        <w:ind w:left="0" w:leftChars="0" w:right="840" w:rightChars="400" w:firstLine="4200" w:firstLineChars="2000"/>
        <w:rPr>
          <w:rFonts w:hint="eastAsia" w:ascii="ＭＳ ゴシック" w:hAnsi="ＭＳ ゴシック" w:eastAsia="ＭＳ ゴシック"/>
        </w:rPr>
      </w:pPr>
      <w:r>
        <w:rPr>
          <w:rFonts w:hint="eastAsia" w:ascii="ＭＳ ゴシック" w:hAnsi="ＭＳ ゴシック" w:eastAsia="ＭＳ ゴシック"/>
        </w:rPr>
        <w:t>商号又は名称</w:t>
      </w:r>
    </w:p>
    <w:p>
      <w:pPr>
        <w:pStyle w:val="0"/>
        <w:wordWrap w:val="0"/>
        <w:jc w:val="lef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spacing w:val="70"/>
          <w:fitText w:val="1260" w:id="2"/>
        </w:rPr>
        <w:t>代表</w:t>
      </w:r>
      <w:bookmarkStart w:id="0" w:name="_GoBack"/>
      <w:bookmarkEnd w:id="0"/>
      <w:r>
        <w:rPr>
          <w:rFonts w:hint="eastAsia" w:ascii="ＭＳ ゴシック" w:hAnsi="ＭＳ ゴシック" w:eastAsia="ＭＳ ゴシック"/>
          <w:spacing w:val="70"/>
          <w:fitText w:val="1260" w:id="2"/>
        </w:rPr>
        <w:t>者</w:t>
      </w:r>
      <w:r>
        <w:rPr>
          <w:rFonts w:hint="eastAsia" w:ascii="ＭＳ ゴシック" w:hAnsi="ＭＳ ゴシック" w:eastAsia="ＭＳ ゴシック"/>
          <w:fitText w:val="1260" w:id="2"/>
        </w:rPr>
        <w:t>名</w:t>
      </w:r>
      <w:r>
        <w:rPr>
          <w:rFonts w:hint="eastAsia" w:ascii="ＭＳ ゴシック" w:hAnsi="ＭＳ ゴシック" w:eastAsia="ＭＳ ゴシック"/>
        </w:rPr>
        <w:t>　　　　　　　　　　　　　　　印</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ind w:firstLine="210" w:firstLineChars="100"/>
        <w:rPr>
          <w:rFonts w:hint="eastAsia" w:ascii="ＭＳ ゴシック" w:hAnsi="ＭＳ ゴシック" w:eastAsia="ＭＳ ゴシック"/>
          <w:sz w:val="21"/>
        </w:rPr>
      </w:pPr>
      <w:r>
        <w:rPr>
          <w:rFonts w:hint="eastAsia" w:ascii="ＭＳ ゴシック" w:hAnsi="ＭＳ ゴシック" w:eastAsia="ＭＳ ゴシック"/>
          <w:sz w:val="21"/>
        </w:rPr>
        <w:t>「公園施設長寿命化対策支援事業　東御中央公園遊具等設置工事」の公募型プロポーザルに参加するにあたり、下記の参加資格の要件を満たしていること及び提出書類の記載事項は事実と相違ないことを誓約します。</w:t>
      </w:r>
    </w:p>
    <w:p>
      <w:pPr>
        <w:pStyle w:val="0"/>
        <w:rPr>
          <w:rFonts w:hint="eastAsia" w:ascii="ＭＳ ゴシック" w:hAnsi="ＭＳ ゴシック" w:eastAsia="ＭＳ ゴシック"/>
          <w:sz w:val="21"/>
        </w:rPr>
      </w:pPr>
    </w:p>
    <w:p>
      <w:pPr>
        <w:pStyle w:val="0"/>
        <w:jc w:val="center"/>
        <w:rPr>
          <w:rFonts w:hint="eastAsia" w:ascii="ＭＳ ゴシック" w:hAnsi="ＭＳ ゴシック" w:eastAsia="ＭＳ ゴシック"/>
        </w:rPr>
      </w:pPr>
      <w:r>
        <w:rPr>
          <w:rFonts w:hint="eastAsia" w:ascii="ＭＳ ゴシック" w:hAnsi="ＭＳ ゴシック" w:eastAsia="ＭＳ ゴシック"/>
        </w:rPr>
        <w:t>記</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参加資格の要件</w:t>
      </w:r>
    </w:p>
    <w:p>
      <w:pPr>
        <w:pStyle w:val="0"/>
        <w:ind w:left="0" w:leftChars="0" w:hanging="210" w:hangingChars="100"/>
        <w:rPr>
          <w:rFonts w:hint="eastAsia" w:ascii="ＭＳ ゴシック" w:hAnsi="ＭＳ ゴシック" w:eastAsia="ＭＳ ゴシック"/>
        </w:rPr>
      </w:pPr>
      <w:r>
        <w:rPr>
          <w:rFonts w:hint="eastAsia" w:ascii="ＭＳ ゴシック" w:hAnsi="ＭＳ ゴシック" w:eastAsia="ＭＳ ゴシック"/>
        </w:rPr>
        <w:t>１　地方自治法施行令（昭和</w:t>
      </w:r>
      <w:r>
        <w:rPr>
          <w:rFonts w:hint="eastAsia" w:ascii="ＭＳ ゴシック" w:hAnsi="ＭＳ ゴシック" w:eastAsia="ＭＳ ゴシック"/>
        </w:rPr>
        <w:t>22</w:t>
      </w:r>
      <w:r>
        <w:rPr>
          <w:rFonts w:hint="eastAsia" w:ascii="ＭＳ ゴシック" w:hAnsi="ＭＳ ゴシック" w:eastAsia="ＭＳ ゴシック"/>
        </w:rPr>
        <w:t>年政令第</w:t>
      </w:r>
      <w:r>
        <w:rPr>
          <w:rFonts w:hint="eastAsia" w:ascii="ＭＳ ゴシック" w:hAnsi="ＭＳ ゴシック" w:eastAsia="ＭＳ ゴシック"/>
        </w:rPr>
        <w:t>16</w:t>
      </w:r>
      <w:r>
        <w:rPr>
          <w:rFonts w:hint="eastAsia" w:ascii="ＭＳ ゴシック" w:hAnsi="ＭＳ ゴシック" w:eastAsia="ＭＳ ゴシック"/>
        </w:rPr>
        <w:t>号）第</w:t>
      </w:r>
      <w:r>
        <w:rPr>
          <w:rFonts w:hint="eastAsia" w:ascii="ＭＳ ゴシック" w:hAnsi="ＭＳ ゴシック" w:eastAsia="ＭＳ ゴシック"/>
        </w:rPr>
        <w:t>167</w:t>
      </w:r>
      <w:r>
        <w:rPr>
          <w:rFonts w:hint="eastAsia" w:ascii="ＭＳ ゴシック" w:hAnsi="ＭＳ ゴシック" w:eastAsia="ＭＳ ゴシック"/>
        </w:rPr>
        <w:t>条の４第１項の一般競争入札に参加させることができない者又は同条第２項の一般競争入札に参加させないことができる者に該当しないものであること。</w:t>
      </w:r>
    </w:p>
    <w:p>
      <w:pPr>
        <w:pStyle w:val="0"/>
        <w:ind w:left="0" w:leftChars="0" w:hanging="210" w:hangingChars="100"/>
        <w:rPr>
          <w:rFonts w:hint="eastAsia" w:ascii="ＭＳ ゴシック" w:hAnsi="ＭＳ ゴシック" w:eastAsia="ＭＳ ゴシック"/>
        </w:rPr>
      </w:pPr>
      <w:r>
        <w:rPr>
          <w:rFonts w:hint="eastAsia" w:ascii="ＭＳ ゴシック" w:hAnsi="ＭＳ ゴシック" w:eastAsia="ＭＳ ゴシック"/>
        </w:rPr>
        <w:t>２　東御市が付与した平成</w:t>
      </w:r>
      <w:r>
        <w:rPr>
          <w:rFonts w:hint="eastAsia" w:ascii="ＭＳ ゴシック" w:hAnsi="ＭＳ ゴシック" w:eastAsia="ＭＳ ゴシック"/>
        </w:rPr>
        <w:t>31</w:t>
      </w:r>
      <w:r>
        <w:rPr>
          <w:rFonts w:hint="eastAsia" w:ascii="ＭＳ ゴシック" w:hAnsi="ＭＳ ゴシック" w:eastAsia="ＭＳ ゴシック"/>
        </w:rPr>
        <w:t>・</w:t>
      </w:r>
      <w:r>
        <w:rPr>
          <w:rFonts w:hint="eastAsia" w:ascii="ＭＳ ゴシック" w:hAnsi="ＭＳ ゴシック" w:eastAsia="ＭＳ ゴシック"/>
        </w:rPr>
        <w:t>32</w:t>
      </w:r>
      <w:r>
        <w:rPr>
          <w:rFonts w:hint="eastAsia" w:ascii="ＭＳ ゴシック" w:hAnsi="ＭＳ ゴシック" w:eastAsia="ＭＳ ゴシック"/>
        </w:rPr>
        <w:t>年度入札参加資格の</w:t>
      </w:r>
      <w:r>
        <w:rPr>
          <w:rFonts w:hint="eastAsia" w:ascii="ＭＳ ゴシック" w:hAnsi="ＭＳ ゴシック" w:eastAsia="ＭＳ ゴシック"/>
          <w:highlight w:val="none"/>
        </w:rPr>
        <w:t>とび･土工工事業を</w:t>
      </w:r>
      <w:r>
        <w:rPr>
          <w:rFonts w:hint="eastAsia" w:ascii="ＭＳ ゴシック" w:hAnsi="ＭＳ ゴシック" w:eastAsia="ＭＳ ゴシック"/>
        </w:rPr>
        <w:t>有する者のうち、入札参加資格者名簿に登載された所在地が東御市内である者。</w:t>
      </w:r>
    </w:p>
    <w:p>
      <w:pPr>
        <w:pStyle w:val="0"/>
        <w:ind w:left="0" w:leftChars="0" w:hanging="210" w:hangingChars="100"/>
        <w:rPr>
          <w:rFonts w:hint="eastAsia" w:ascii="ＭＳ ゴシック" w:hAnsi="ＭＳ ゴシック" w:eastAsia="ＭＳ ゴシック"/>
        </w:rPr>
      </w:pPr>
      <w:r>
        <w:rPr>
          <w:rFonts w:hint="eastAsia" w:ascii="ＭＳ ゴシック" w:hAnsi="ＭＳ ゴシック" w:eastAsia="ＭＳ ゴシック"/>
        </w:rPr>
        <w:t>３　とび・土工工事業について、建設業法（昭和</w:t>
      </w:r>
      <w:r>
        <w:rPr>
          <w:rFonts w:hint="eastAsia" w:ascii="ＭＳ ゴシック" w:hAnsi="ＭＳ ゴシック" w:eastAsia="ＭＳ ゴシック"/>
        </w:rPr>
        <w:t>24</w:t>
      </w:r>
      <w:r>
        <w:rPr>
          <w:rFonts w:hint="eastAsia" w:ascii="ＭＳ ゴシック" w:hAnsi="ＭＳ ゴシック" w:eastAsia="ＭＳ ゴシック"/>
        </w:rPr>
        <w:t>年法律第</w:t>
      </w:r>
      <w:r>
        <w:rPr>
          <w:rFonts w:hint="eastAsia" w:ascii="ＭＳ ゴシック" w:hAnsi="ＭＳ ゴシック" w:eastAsia="ＭＳ ゴシック"/>
        </w:rPr>
        <w:t>100</w:t>
      </w:r>
      <w:r>
        <w:rPr>
          <w:rFonts w:hint="eastAsia" w:ascii="ＭＳ ゴシック" w:hAnsi="ＭＳ ゴシック" w:eastAsia="ＭＳ ゴシック"/>
        </w:rPr>
        <w:t>号）に規定する特定建設業許可又は一般建設業許可を有している者。</w:t>
      </w:r>
    </w:p>
    <w:p>
      <w:pPr>
        <w:pStyle w:val="0"/>
        <w:ind w:left="630" w:hanging="630"/>
        <w:rPr>
          <w:rFonts w:hint="eastAsia" w:ascii="ＭＳ ゴシック" w:hAnsi="ＭＳ ゴシック" w:eastAsia="ＭＳ ゴシック"/>
        </w:rPr>
      </w:pPr>
      <w:r>
        <w:rPr>
          <w:rFonts w:hint="eastAsia" w:ascii="ＭＳ ゴシック" w:hAnsi="ＭＳ ゴシック" w:eastAsia="ＭＳ ゴシック"/>
        </w:rPr>
        <w:t>４　建設業法第</w:t>
      </w:r>
      <w:r>
        <w:rPr>
          <w:rFonts w:hint="eastAsia" w:ascii="ＭＳ ゴシック" w:hAnsi="ＭＳ ゴシック" w:eastAsia="ＭＳ ゴシック"/>
        </w:rPr>
        <w:t>26</w:t>
      </w:r>
      <w:r>
        <w:rPr>
          <w:rFonts w:hint="eastAsia" w:ascii="ＭＳ ゴシック" w:hAnsi="ＭＳ ゴシック" w:eastAsia="ＭＳ ゴシック"/>
        </w:rPr>
        <w:t>条に規定する技術者を配置できる者であること。</w:t>
      </w:r>
    </w:p>
    <w:p>
      <w:pPr>
        <w:pStyle w:val="0"/>
        <w:ind w:left="0" w:leftChars="0" w:hanging="210" w:hangingChars="100"/>
        <w:rPr>
          <w:rFonts w:hint="eastAsia" w:ascii="ＭＳ ゴシック" w:hAnsi="ＭＳ ゴシック" w:eastAsia="ＭＳ ゴシック"/>
        </w:rPr>
      </w:pPr>
      <w:r>
        <w:rPr>
          <w:rFonts w:hint="eastAsia" w:ascii="ＭＳ ゴシック" w:hAnsi="ＭＳ ゴシック" w:eastAsia="ＭＳ ゴシック"/>
        </w:rPr>
        <w:t>５　配置する技術者は、本工事の入札参加資格確認書提出日以前に３か月以上の恒常的な雇用関係を有する者であること。</w:t>
      </w:r>
    </w:p>
    <w:p>
      <w:pPr>
        <w:pStyle w:val="0"/>
        <w:ind w:left="0" w:leftChars="0" w:hanging="210" w:hangingChars="100"/>
        <w:rPr>
          <w:rFonts w:hint="eastAsia" w:ascii="ＭＳ ゴシック" w:hAnsi="ＭＳ ゴシック" w:eastAsia="ＭＳ ゴシック"/>
        </w:rPr>
      </w:pPr>
      <w:r>
        <w:rPr>
          <w:rFonts w:hint="eastAsia" w:ascii="ＭＳ ゴシック" w:hAnsi="ＭＳ ゴシック" w:eastAsia="ＭＳ ゴシック"/>
        </w:rPr>
        <w:t>６　東御市建設工事等入札参加者に係る指名停止要綱（平成</w:t>
      </w:r>
      <w:r>
        <w:rPr>
          <w:rFonts w:hint="eastAsia" w:ascii="ＭＳ ゴシック" w:hAnsi="ＭＳ ゴシック" w:eastAsia="ＭＳ ゴシック"/>
        </w:rPr>
        <w:t>16</w:t>
      </w:r>
      <w:r>
        <w:rPr>
          <w:rFonts w:hint="eastAsia" w:ascii="ＭＳ ゴシック" w:hAnsi="ＭＳ ゴシック" w:eastAsia="ＭＳ ゴシック"/>
        </w:rPr>
        <w:t>年告示第</w:t>
      </w:r>
      <w:r>
        <w:rPr>
          <w:rFonts w:hint="eastAsia" w:ascii="ＭＳ ゴシック" w:hAnsi="ＭＳ ゴシック" w:eastAsia="ＭＳ ゴシック"/>
        </w:rPr>
        <w:t>14</w:t>
      </w:r>
      <w:r>
        <w:rPr>
          <w:rFonts w:hint="eastAsia" w:ascii="ＭＳ ゴシック" w:hAnsi="ＭＳ ゴシック" w:eastAsia="ＭＳ ゴシック"/>
        </w:rPr>
        <w:t>号）第２条第１項の規定による指名停止を受けていないものであること。</w:t>
      </w:r>
    </w:p>
    <w:p>
      <w:pPr>
        <w:pStyle w:val="0"/>
        <w:overflowPunct w:val="0"/>
        <w:autoSpaceDE w:val="0"/>
        <w:autoSpaceDN w:val="0"/>
        <w:ind w:left="630" w:hanging="630"/>
        <w:rPr>
          <w:rFonts w:hint="eastAsia" w:ascii="ＭＳ ゴシック" w:hAnsi="ＭＳ ゴシック" w:eastAsia="ＭＳ ゴシック"/>
        </w:rPr>
      </w:pPr>
      <w:r>
        <w:rPr>
          <w:rFonts w:hint="eastAsia" w:ascii="ＭＳ ゴシック" w:hAnsi="ＭＳ ゴシック" w:eastAsia="ＭＳ ゴシック"/>
        </w:rPr>
        <w:t>７　建設業法第</w:t>
      </w:r>
      <w:r>
        <w:rPr>
          <w:rFonts w:hint="eastAsia" w:ascii="ＭＳ ゴシック" w:hAnsi="ＭＳ ゴシック" w:eastAsia="ＭＳ ゴシック"/>
        </w:rPr>
        <w:t>28</w:t>
      </w:r>
      <w:r>
        <w:rPr>
          <w:rFonts w:hint="eastAsia" w:ascii="ＭＳ ゴシック" w:hAnsi="ＭＳ ゴシック" w:eastAsia="ＭＳ ゴシック"/>
        </w:rPr>
        <w:t>条第３項の規定により営業停止の処分を受けていない者であること。</w:t>
      </w:r>
    </w:p>
    <w:p>
      <w:pPr>
        <w:pStyle w:val="0"/>
        <w:ind w:left="0" w:leftChars="0" w:hanging="210" w:hangingChars="100"/>
        <w:rPr>
          <w:rFonts w:hint="eastAsia" w:ascii="ＭＳ ゴシック" w:hAnsi="ＭＳ ゴシック" w:eastAsia="ＭＳ ゴシック"/>
        </w:rPr>
      </w:pPr>
      <w:r>
        <w:rPr>
          <w:rFonts w:hint="eastAsia" w:ascii="ＭＳ ゴシック" w:hAnsi="ＭＳ ゴシック" w:eastAsia="ＭＳ ゴシック"/>
        </w:rPr>
        <w:t>８　会社更生法（平成</w:t>
      </w:r>
      <w:r>
        <w:rPr>
          <w:rFonts w:hint="eastAsia" w:ascii="ＭＳ ゴシック" w:hAnsi="ＭＳ ゴシック" w:eastAsia="ＭＳ ゴシック"/>
        </w:rPr>
        <w:t>14</w:t>
      </w:r>
      <w:r>
        <w:rPr>
          <w:rFonts w:hint="eastAsia" w:ascii="ＭＳ ゴシック" w:hAnsi="ＭＳ ゴシック" w:eastAsia="ＭＳ ゴシック"/>
        </w:rPr>
        <w:t>年法律第</w:t>
      </w:r>
      <w:r>
        <w:rPr>
          <w:rFonts w:hint="eastAsia" w:ascii="ＭＳ ゴシック" w:hAnsi="ＭＳ ゴシック" w:eastAsia="ＭＳ ゴシック"/>
        </w:rPr>
        <w:t>154</w:t>
      </w:r>
      <w:r>
        <w:rPr>
          <w:rFonts w:hint="eastAsia" w:ascii="ＭＳ ゴシック" w:hAnsi="ＭＳ ゴシック" w:eastAsia="ＭＳ ゴシック"/>
        </w:rPr>
        <w:t>号）に基づき更生手続き開始の申立てがなされている者又は民事再生法（平成</w:t>
      </w:r>
      <w:r>
        <w:rPr>
          <w:rFonts w:hint="eastAsia" w:ascii="ＭＳ ゴシック" w:hAnsi="ＭＳ ゴシック" w:eastAsia="ＭＳ ゴシック"/>
        </w:rPr>
        <w:t>11</w:t>
      </w:r>
      <w:r>
        <w:rPr>
          <w:rFonts w:hint="eastAsia" w:ascii="ＭＳ ゴシック" w:hAnsi="ＭＳ ゴシック" w:eastAsia="ＭＳ ゴシック"/>
        </w:rPr>
        <w:t>年法律第</w:t>
      </w:r>
      <w:r>
        <w:rPr>
          <w:rFonts w:hint="eastAsia" w:ascii="ＭＳ ゴシック" w:hAnsi="ＭＳ ゴシック" w:eastAsia="ＭＳ ゴシック"/>
        </w:rPr>
        <w:t>225</w:t>
      </w:r>
      <w:r>
        <w:rPr>
          <w:rFonts w:hint="eastAsia" w:ascii="ＭＳ ゴシック" w:hAnsi="ＭＳ ゴシック" w:eastAsia="ＭＳ ゴシック"/>
        </w:rPr>
        <w:t>号）に基づき再生手続開始の申立てがなされている者でないこと。</w:t>
      </w:r>
    </w:p>
    <w:p>
      <w:pPr>
        <w:pStyle w:val="0"/>
        <w:ind w:left="0" w:leftChars="0" w:hanging="210" w:hangingChars="100"/>
        <w:rPr>
          <w:rFonts w:hint="eastAsia" w:ascii="ＭＳ ゴシック" w:hAnsi="ＭＳ ゴシック" w:eastAsia="ＭＳ ゴシック"/>
        </w:rPr>
      </w:pPr>
      <w:r>
        <w:rPr>
          <w:rFonts w:hint="eastAsia" w:ascii="ＭＳ ゴシック" w:hAnsi="ＭＳ ゴシック" w:eastAsia="ＭＳ ゴシック"/>
        </w:rPr>
        <w:t>９　東御市暴力団排除条例（平成</w:t>
      </w:r>
      <w:r>
        <w:rPr>
          <w:rFonts w:hint="eastAsia" w:ascii="ＭＳ ゴシック" w:hAnsi="ＭＳ ゴシック" w:eastAsia="ＭＳ ゴシック"/>
        </w:rPr>
        <w:t>25</w:t>
      </w:r>
      <w:r>
        <w:rPr>
          <w:rFonts w:hint="eastAsia" w:ascii="ＭＳ ゴシック" w:hAnsi="ＭＳ ゴシック" w:eastAsia="ＭＳ ゴシック"/>
        </w:rPr>
        <w:t>年条例第１号）第２条第２号に規定する暴力団員又は同条例第６条第１項に規定する暴力団関係者でないこと。</w:t>
      </w:r>
    </w:p>
    <w:p>
      <w:pPr>
        <w:pStyle w:val="0"/>
        <w:ind w:left="0" w:leftChars="0" w:hanging="420" w:hangingChars="200"/>
        <w:rPr>
          <w:rFonts w:hint="eastAsia" w:ascii="ＭＳ ゴシック" w:hAnsi="ＭＳ ゴシック" w:eastAsia="ＭＳ ゴシック"/>
        </w:rPr>
      </w:pPr>
      <w:r>
        <w:rPr>
          <w:rFonts w:hint="eastAsia" w:ascii="ＭＳ ゴシック" w:hAnsi="ＭＳ ゴシック" w:eastAsia="ＭＳ ゴシック"/>
        </w:rPr>
        <w:t>10</w:t>
      </w:r>
      <w:r>
        <w:rPr>
          <w:rFonts w:hint="eastAsia" w:ascii="ＭＳ ゴシック" w:hAnsi="ＭＳ ゴシック" w:eastAsia="ＭＳ ゴシック"/>
        </w:rPr>
        <w:t>　国税、県税並びに市税等を滞納しているものでないこと。</w:t>
      </w:r>
    </w:p>
    <w:p>
      <w:pPr>
        <w:pStyle w:val="0"/>
        <w:rPr>
          <w:rFonts w:hint="eastAsia" w:ascii="ＭＳ ゴシック" w:hAnsi="ＭＳ ゴシック" w:eastAsia="ＭＳ ゴシック"/>
        </w:rPr>
      </w:pPr>
    </w:p>
    <w:sectPr>
      <w:pgSz w:w="11906" w:h="16838"/>
      <w:pgMar w:top="113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1</Words>
  <Characters>208</Characters>
  <Application>JUST Note</Application>
  <Lines>26</Lines>
  <Paragraphs>11</Paragraphs>
  <CharactersWithSpaces>254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掛川 隆司</dc:creator>
  <cp:lastModifiedBy>大塚 明成</cp:lastModifiedBy>
  <cp:lastPrinted>2019-08-09T07:32:28Z</cp:lastPrinted>
  <dcterms:created xsi:type="dcterms:W3CDTF">2019-07-31T09:48:00Z</dcterms:created>
  <dcterms:modified xsi:type="dcterms:W3CDTF">2019-08-09T07:32:27Z</dcterms:modified>
  <cp:revision>4</cp:revision>
</cp:coreProperties>
</file>